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rFonts w:hint="default"/>
          <w:b/>
          <w:bCs/>
          <w:sz w:val="36"/>
          <w:szCs w:val="44"/>
          <w:lang w:val="en-US" w:eastAsia="zh-CN"/>
        </w:rPr>
      </w:pPr>
      <w:r>
        <w:rPr>
          <w:rFonts w:hint="eastAsia"/>
          <w:b/>
          <w:bCs/>
          <w:sz w:val="36"/>
          <w:szCs w:val="44"/>
          <w:lang w:val="en-US" w:eastAsia="zh-CN"/>
        </w:rPr>
        <w:t>采购风险事项告知书</w:t>
      </w:r>
    </w:p>
    <w:p>
      <w:pPr>
        <w:ind w:firstLine="560" w:firstLineChars="200"/>
        <w:jc w:val="left"/>
        <w:rPr>
          <w:rFonts w:hint="eastAsia"/>
          <w:sz w:val="28"/>
          <w:szCs w:val="36"/>
        </w:rPr>
      </w:pPr>
      <w:r>
        <w:rPr>
          <w:rFonts w:hint="eastAsia"/>
          <w:sz w:val="28"/>
          <w:szCs w:val="36"/>
        </w:rPr>
        <w:t>在招标项目开标后，系统自动核查，同一招标项目中不同投标人的公网IP地址、MAC地址、线上投标过程中所留联系信息、缴纳保证金账户等信息雷同，或投标人企业之间存在关联关系等任一情况,记为风险事项。</w:t>
      </w:r>
    </w:p>
    <w:p>
      <w:pPr>
        <w:jc w:val="left"/>
        <w:rPr>
          <w:rFonts w:hint="eastAsia"/>
          <w:sz w:val="28"/>
          <w:szCs w:val="36"/>
        </w:rPr>
      </w:pPr>
      <w:r>
        <w:rPr>
          <w:rFonts w:hint="eastAsia"/>
          <w:sz w:val="28"/>
          <w:szCs w:val="36"/>
        </w:rPr>
        <w:t>投标人出现以下情形视为存在关联关系：</w:t>
      </w:r>
    </w:p>
    <w:p>
      <w:pPr>
        <w:ind w:firstLine="560" w:firstLineChars="200"/>
        <w:jc w:val="left"/>
        <w:rPr>
          <w:rFonts w:hint="eastAsia"/>
          <w:sz w:val="28"/>
          <w:szCs w:val="36"/>
        </w:rPr>
      </w:pPr>
      <w:r>
        <w:rPr>
          <w:rFonts w:hint="eastAsia"/>
          <w:sz w:val="28"/>
          <w:szCs w:val="36"/>
        </w:rPr>
        <w:t>①投资关联关系：一方直接或者间接持有另一方的股份总和达到25%以上，双方直接或者间接同为第三方所持有的股份达到25%以上，如果一方通过中间方对另一方间接持有股份，只要其对中间方持股比例达到25%以上，则其对另一方的持股比例按照中间方对另一方的持股比例计算；</w:t>
      </w:r>
    </w:p>
    <w:p>
      <w:pPr>
        <w:ind w:firstLine="560" w:firstLineChars="200"/>
        <w:jc w:val="left"/>
        <w:rPr>
          <w:rFonts w:hint="eastAsia"/>
          <w:sz w:val="28"/>
          <w:szCs w:val="36"/>
        </w:rPr>
      </w:pPr>
      <w:r>
        <w:rPr>
          <w:rFonts w:hint="eastAsia"/>
          <w:sz w:val="28"/>
          <w:szCs w:val="36"/>
        </w:rPr>
        <w:t>②实际控制人关联关系：一方与另一方的实际控制人相一致(实际控制人为同一国有资产监督管理机构的企业间不构成实际控制人关联关系)；</w:t>
      </w:r>
    </w:p>
    <w:p>
      <w:pPr>
        <w:ind w:firstLine="560" w:firstLineChars="200"/>
        <w:jc w:val="left"/>
        <w:rPr>
          <w:rFonts w:hint="eastAsia"/>
          <w:sz w:val="28"/>
          <w:szCs w:val="36"/>
        </w:rPr>
      </w:pPr>
      <w:r>
        <w:rPr>
          <w:rFonts w:hint="eastAsia"/>
          <w:sz w:val="28"/>
          <w:szCs w:val="36"/>
        </w:rPr>
        <w:t>③分支机构关联关系：一方为另一方的分支机构；</w:t>
      </w:r>
    </w:p>
    <w:p>
      <w:pPr>
        <w:ind w:firstLine="560" w:firstLineChars="200"/>
        <w:jc w:val="left"/>
        <w:rPr>
          <w:rFonts w:hint="eastAsia"/>
          <w:sz w:val="28"/>
          <w:szCs w:val="36"/>
        </w:rPr>
      </w:pPr>
      <w:r>
        <w:rPr>
          <w:rFonts w:hint="eastAsia"/>
          <w:sz w:val="28"/>
          <w:szCs w:val="36"/>
        </w:rPr>
        <w:t>④法定代表人关联关系：一方与另一方的法定代表人相一致；</w:t>
      </w:r>
    </w:p>
    <w:p>
      <w:pPr>
        <w:ind w:firstLine="560" w:firstLineChars="200"/>
        <w:jc w:val="left"/>
        <w:rPr>
          <w:rFonts w:hint="eastAsia"/>
          <w:sz w:val="28"/>
          <w:szCs w:val="36"/>
        </w:rPr>
      </w:pPr>
      <w:r>
        <w:rPr>
          <w:rFonts w:hint="eastAsia"/>
          <w:sz w:val="28"/>
          <w:szCs w:val="36"/>
        </w:rPr>
        <w:t>⑤主要负责人关联关系：一方的董事、监事、高级管理人员（包括上市公司董事会秘书、经理、副经理、财务负责人）同时担任另一方的董事、监事或高级管理人员；</w:t>
      </w:r>
    </w:p>
    <w:p>
      <w:pPr>
        <w:ind w:firstLine="560" w:firstLineChars="200"/>
        <w:jc w:val="left"/>
        <w:rPr>
          <w:rFonts w:hint="eastAsia"/>
          <w:sz w:val="28"/>
          <w:szCs w:val="36"/>
        </w:rPr>
      </w:pPr>
      <w:r>
        <w:rPr>
          <w:rFonts w:hint="eastAsia"/>
          <w:sz w:val="28"/>
          <w:szCs w:val="36"/>
        </w:rPr>
        <w:t>⑥联系方式关联关系：一方与另一方最新一期年报中公示的电话、邮箱相一致，一方与另一方注册地址相一致；</w:t>
      </w:r>
    </w:p>
    <w:p>
      <w:pPr>
        <w:ind w:firstLine="560" w:firstLineChars="200"/>
        <w:jc w:val="left"/>
        <w:rPr>
          <w:rFonts w:hint="eastAsia"/>
          <w:sz w:val="28"/>
          <w:szCs w:val="36"/>
        </w:rPr>
      </w:pPr>
      <w:r>
        <w:rPr>
          <w:rFonts w:hint="eastAsia"/>
          <w:sz w:val="28"/>
          <w:szCs w:val="36"/>
        </w:rPr>
        <w:t>⑦竞争合作关联关系：一方与另一方的商标相一致；</w:t>
      </w:r>
      <w:bookmarkStart w:id="0" w:name="_GoBack"/>
      <w:bookmarkEnd w:id="0"/>
    </w:p>
    <w:p>
      <w:pPr>
        <w:ind w:firstLine="280" w:firstLineChars="100"/>
        <w:jc w:val="left"/>
        <w:rPr>
          <w:rFonts w:hint="eastAsia"/>
          <w:color w:val="000000" w:themeColor="text1"/>
          <w:sz w:val="28"/>
          <w:szCs w:val="36"/>
          <w:highlight w:val="yellow"/>
          <w14:textFill>
            <w14:solidFill>
              <w14:schemeClr w14:val="tx1"/>
            </w14:solidFill>
          </w14:textFill>
        </w:rPr>
      </w:pPr>
      <w:r>
        <w:rPr>
          <w:rFonts w:hint="eastAsia"/>
          <w:color w:val="000000" w:themeColor="text1"/>
          <w:sz w:val="28"/>
          <w:szCs w:val="36"/>
          <w:highlight w:val="yellow"/>
          <w14:textFill>
            <w14:solidFill>
              <w14:schemeClr w14:val="tx1"/>
            </w14:solidFill>
          </w14:textFill>
        </w:rPr>
        <w:t>在询价单开标后，系统自动核查，若报价供应商与采购企业或者报价供应商之间的公网IP地址、联系电话出现雷同，或报价供应商之间存在关联关系等任一情况，记为风险事项。</w:t>
      </w:r>
    </w:p>
    <w:p>
      <w:pPr>
        <w:ind w:firstLine="560" w:firstLineChars="200"/>
        <w:jc w:val="left"/>
        <w:rPr>
          <w:rFonts w:hint="eastAsia"/>
          <w:sz w:val="28"/>
          <w:szCs w:val="36"/>
        </w:rPr>
      </w:pPr>
      <w:r>
        <w:rPr>
          <w:rFonts w:hint="eastAsia"/>
          <w:sz w:val="28"/>
          <w:szCs w:val="36"/>
        </w:rPr>
        <w:t>报价供应商之间关联关系认定规则同“招标活动中供应商有围标、串标嫌疑”风险项中投标人间关联关系的认定规则。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A10EC"/>
    <w:rsid w:val="19731B5C"/>
    <w:rsid w:val="3D6D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2024-10-28T08:59:00Z</dcterms:created>
  <dc:creator>Administrator</dc:creator>
  <cp:lastModifiedBy>Administrator</cp:lastModifiedBy>
  <dcterms:modified xsi:type="dcterms:W3CDTF">2026-04-23T07:06:31Z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EA78B32D46EA4A7580F9FD0E6CC61F01</vt:lpwstr>
  </property>
</Properties>
</file>